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3544"/>
        <w:gridCol w:w="5244"/>
      </w:tblGrid>
      <w:tr w:rsidR="00056037" w:rsidTr="00593836">
        <w:trPr>
          <w:trHeight w:val="4385"/>
        </w:trPr>
        <w:tc>
          <w:tcPr>
            <w:tcW w:w="1413" w:type="dxa"/>
          </w:tcPr>
          <w:p w:rsidR="00056037" w:rsidRDefault="00056037">
            <w:r>
              <w:t>17.10.2019</w:t>
            </w:r>
          </w:p>
        </w:tc>
        <w:tc>
          <w:tcPr>
            <w:tcW w:w="3544" w:type="dxa"/>
          </w:tcPr>
          <w:p w:rsidR="00056037" w:rsidRDefault="00593836" w:rsidP="00593836">
            <w:pPr>
              <w:ind w:firstLine="459"/>
              <w:jc w:val="both"/>
            </w:pPr>
            <w:r w:rsidRPr="00593836">
              <w:t xml:space="preserve">В Северо-Уральское управление Ростехнадзора поступило письмо заявителя с просьбой о разъяснении </w:t>
            </w:r>
            <w:r w:rsidR="00056037" w:rsidRPr="00056037">
              <w:t>допустимости в проектной документации решения по сварке фасонных частей заводского изготовления напрямую друг к другу, исключив дополнительный участок трубы между соединительными кольцевыми соединениями. На какой нормативный документ может ссылаться организация при применении этого решения?</w:t>
            </w:r>
          </w:p>
        </w:tc>
        <w:tc>
          <w:tcPr>
            <w:tcW w:w="5244" w:type="dxa"/>
          </w:tcPr>
          <w:p w:rsidR="00593836" w:rsidRDefault="00593836" w:rsidP="00593836">
            <w:pPr>
              <w:pStyle w:val="Style2"/>
              <w:shd w:val="clear" w:color="auto" w:fill="auto"/>
              <w:spacing w:before="0" w:line="240" w:lineRule="auto"/>
              <w:ind w:left="60" w:right="40" w:firstLine="541"/>
              <w:rPr>
                <w:sz w:val="22"/>
                <w:szCs w:val="22"/>
              </w:rPr>
            </w:pP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На данный вопрос Управлением дан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</w:t>
            </w:r>
            <w:r w:rsidRPr="00082683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ответ</w:t>
            </w:r>
            <w:r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следующего содержания</w:t>
            </w:r>
            <w:r>
              <w:rPr>
                <w:sz w:val="22"/>
                <w:szCs w:val="22"/>
              </w:rPr>
              <w:t>:</w:t>
            </w:r>
          </w:p>
          <w:p w:rsidR="00593836" w:rsidRDefault="00593836" w:rsidP="00593836">
            <w:pPr>
              <w:ind w:firstLine="459"/>
              <w:jc w:val="both"/>
            </w:pPr>
            <w:r>
              <w:t>На основании пункта 1 статьи 8 Федерального закона от 21 июля 1997 г. № 116- ФЗ «О промышленной безопасности опасных производственных объектов» (далее - ФЗ № 116-ФЗ), техническое перевооружение, капитальный ремонт, консервация и ликвидация опасного производственного объекта осуществляются на основании документации, разработанной в порядке, установленном настоящим Федеральным законом, с учетом законодательства о градостроительной деятельности.</w:t>
            </w:r>
          </w:p>
          <w:p w:rsidR="00593836" w:rsidRDefault="00593836" w:rsidP="00593836">
            <w:pPr>
              <w:ind w:firstLine="459"/>
              <w:jc w:val="both"/>
            </w:pPr>
            <w:r>
              <w:t>Отклонения от проектной документации опасного производственного объекта в процессе его строительства, реконструкции, капитального ремонта, а также от документации на техническое перевооружение, капитальный ремонт, консервацию и ликвидацию опасного производственного объекта в процессе его технического перевооружения, консервации и ликвидации не допускаются, пункт 2 статьи 8 ФЗ № 116-ФЗ.</w:t>
            </w:r>
          </w:p>
          <w:p w:rsidR="00593836" w:rsidRDefault="00593836" w:rsidP="00593836">
            <w:pPr>
              <w:ind w:firstLine="459"/>
              <w:jc w:val="both"/>
            </w:pPr>
            <w:r>
              <w:t>В соответствии с требованиями пункта 19, Технического регламента о безопасности сетей газораспределения и газопотребления, утвержденным Постановлением Правительства РФ 29 октября 2010 г. № 870 (далее - Технический регламент), Проектная документация на сети газораспределения и газопотребления должна соответствовать требованиям законодательства о градостроительной деятельности.</w:t>
            </w:r>
          </w:p>
          <w:p w:rsidR="00593836" w:rsidRDefault="00593836" w:rsidP="00593836">
            <w:pPr>
              <w:ind w:firstLine="459"/>
              <w:jc w:val="both"/>
            </w:pPr>
            <w:r>
              <w:t>Проектирование должно осуществляться с учетом оценки рисков аварий, пожарного риска, связанных с ними чрезвычайных ситуаций и иных неблагоприятных воздействий на людей, имущество физических и юридических лиц и окружающую среду при эксплуатации и ликвидации сетей газораспределения и газопотребления, пункт 20 Технического регламента.</w:t>
            </w:r>
          </w:p>
          <w:p w:rsidR="00593836" w:rsidRDefault="00593836" w:rsidP="00593836">
            <w:pPr>
              <w:ind w:firstLine="459"/>
              <w:jc w:val="both"/>
            </w:pPr>
            <w:r>
              <w:t>На основании пункта 21 Технического регламента, выбор технических и технологических устройств, материала и конструкции труб и соединительных деталей, защитных покрытий, вида и способа прокладки газопроводов должен осуществляться с учетом требуемых по условиям эксплуатации параметров давления и температуры природного газа, гидрогеологических данных, природных условий и техногенных воздействий.</w:t>
            </w:r>
          </w:p>
          <w:p w:rsidR="00593836" w:rsidRDefault="00593836" w:rsidP="00593836">
            <w:pPr>
              <w:ind w:firstLine="459"/>
              <w:jc w:val="both"/>
            </w:pPr>
            <w:r>
              <w:t>В соответствии с требованиями пункта 56 Технического регламента, при строительстве, реконструкции, монтаже и капитальном ремонте должно быть обеспечено соблюдение;</w:t>
            </w:r>
          </w:p>
          <w:p w:rsidR="00593836" w:rsidRDefault="00593836" w:rsidP="00593836">
            <w:pPr>
              <w:ind w:firstLine="459"/>
              <w:jc w:val="both"/>
            </w:pPr>
            <w:r>
              <w:t>-</w:t>
            </w:r>
            <w:r>
              <w:tab/>
              <w:t>технических решений, предусмотренных проектной документацией;</w:t>
            </w:r>
          </w:p>
          <w:p w:rsidR="00593836" w:rsidRDefault="00593836" w:rsidP="00593836">
            <w:pPr>
              <w:ind w:left="33" w:firstLine="426"/>
              <w:jc w:val="both"/>
            </w:pPr>
            <w:r>
              <w:lastRenderedPageBreak/>
              <w:t>-</w:t>
            </w:r>
            <w:r>
              <w:tab/>
              <w:t>требований эксплуатационной документации изготовителей газоиспользующего оборудования, технических и технологических устройств, труб, материалов и соединительных деталей;</w:t>
            </w:r>
          </w:p>
          <w:p w:rsidR="00593836" w:rsidRDefault="00593836" w:rsidP="00593836">
            <w:pPr>
              <w:ind w:firstLine="459"/>
              <w:jc w:val="both"/>
            </w:pPr>
            <w:r>
              <w:t>-</w:t>
            </w:r>
            <w:r>
              <w:tab/>
              <w:t>технологии строительства, монтажа, капитального ремонта и реконструкции в соответствии с проектом производства работ или технологическими картами.</w:t>
            </w:r>
          </w:p>
          <w:p w:rsidR="00056037" w:rsidRDefault="00593836" w:rsidP="00593836">
            <w:pPr>
              <w:ind w:firstLine="459"/>
              <w:jc w:val="both"/>
            </w:pPr>
            <w:r>
              <w:t>В процессе строительства, реконструкции, капитального ремонта, технического перевооружения, консервации и ликвидации опасного производственного объекта организации, разработавшие соответствующую документацию (проектную), в установленном порядке осуществляют авторский надзор, в соответствии с пунктом 3 статьи 8 ФЗ № 116-ФЗ.</w:t>
            </w:r>
          </w:p>
        </w:tc>
      </w:tr>
      <w:tr w:rsidR="00056037" w:rsidTr="00056037">
        <w:tc>
          <w:tcPr>
            <w:tcW w:w="1413" w:type="dxa"/>
          </w:tcPr>
          <w:p w:rsidR="00056037" w:rsidRDefault="00593836">
            <w:r>
              <w:lastRenderedPageBreak/>
              <w:t>22.10.2019</w:t>
            </w:r>
          </w:p>
        </w:tc>
        <w:tc>
          <w:tcPr>
            <w:tcW w:w="3544" w:type="dxa"/>
          </w:tcPr>
          <w:p w:rsidR="00056037" w:rsidRDefault="00593836" w:rsidP="00593836">
            <w:pPr>
              <w:ind w:firstLine="601"/>
              <w:jc w:val="both"/>
            </w:pPr>
            <w:r w:rsidRPr="00593836">
              <w:t>В Северо-Уральское управление Ростехнадзора поступило письмо заявителя с просьбой о разъяснении</w:t>
            </w:r>
            <w:r>
              <w:t>, н</w:t>
            </w:r>
            <w:r w:rsidRPr="00593836">
              <w:t>еобходимо ли участие представителя Ростехнадзора в комиссии по приемке в эксплуатацию сети газопотребления для получения разрешения на пуск газа и проведение пуско-наладочных работ на газоиспользующем оборудовании.</w:t>
            </w:r>
          </w:p>
        </w:tc>
        <w:tc>
          <w:tcPr>
            <w:tcW w:w="5244" w:type="dxa"/>
          </w:tcPr>
          <w:p w:rsidR="00593836" w:rsidRDefault="00593836" w:rsidP="00593836">
            <w:pPr>
              <w:ind w:firstLine="601"/>
              <w:jc w:val="both"/>
            </w:pPr>
            <w:r w:rsidRPr="00593836">
              <w:t>На данный вопрос Управлением дан ответ следующего содержания:</w:t>
            </w:r>
          </w:p>
          <w:p w:rsidR="00593836" w:rsidRDefault="00593836" w:rsidP="00593836">
            <w:pPr>
              <w:ind w:firstLine="601"/>
              <w:jc w:val="both"/>
            </w:pPr>
            <w:r>
              <w:t>В соответствии с постановлением Правительства Российской Федерации от 17 мая 2002 г. № 317 «Правила пользования газом и предоставления услуг по газоснабжению в Российской Федерации», пуск газа на построенное, реконструированное или модернизированное газоиспользующее оборудование и оборудование, переводимое на газ с других видов топлива, для проведения пусконаладочных работ (комплексного опробования) и приемки оборудования в эксплуатацию производится на основании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присоединению), который в соответствии с постановлением Правительства РФ от 15.06.2017 № 713 «Об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подключения (технологического присоединения) объектов капитального строительства к сетям газораспределения» подписывается Исполнителем и Заявителем.</w:t>
            </w:r>
          </w:p>
          <w:p w:rsidR="00056037" w:rsidRDefault="00593836" w:rsidP="00593836">
            <w:pPr>
              <w:ind w:firstLine="601"/>
              <w:jc w:val="both"/>
            </w:pPr>
            <w:r>
              <w:t>На основании вышеизложенного, участие представителя Ростехнадзора в комиссии по приемке в эксплуатацию сети газопотребления для получения разрешения на пуск газа и проведения пуско-наладочных работ на газоиспользующем оборудовании не требуется.</w:t>
            </w:r>
          </w:p>
        </w:tc>
      </w:tr>
      <w:tr w:rsidR="00056037" w:rsidTr="00056037">
        <w:tc>
          <w:tcPr>
            <w:tcW w:w="1413" w:type="dxa"/>
          </w:tcPr>
          <w:p w:rsidR="00056037" w:rsidRDefault="003C2257">
            <w:r>
              <w:t>29.10.2019</w:t>
            </w:r>
          </w:p>
        </w:tc>
        <w:tc>
          <w:tcPr>
            <w:tcW w:w="3544" w:type="dxa"/>
          </w:tcPr>
          <w:p w:rsidR="00056037" w:rsidRDefault="00593836" w:rsidP="004E033C">
            <w:pPr>
              <w:ind w:firstLine="601"/>
              <w:jc w:val="both"/>
            </w:pPr>
            <w:r w:rsidRPr="00593836">
              <w:t xml:space="preserve">В Северо-Уральское управление Ростехнадзора поступило письмо заявителя с просьбой </w:t>
            </w:r>
            <w:r w:rsidR="00834E16" w:rsidRPr="00834E16">
              <w:t xml:space="preserve">о разъяснении </w:t>
            </w:r>
            <w:r w:rsidR="00834E16" w:rsidRPr="00834E16">
              <w:lastRenderedPageBreak/>
              <w:t>регистрации скважин в составе ОПО, строительство которых завершено 1982 г., не введенных в эксплуатационный фонд и в тех случаях, когда на данные скважины отсутствуют индивидуальные рабочие проекты на строительство, акты приемки законченного строительством объект</w:t>
            </w:r>
            <w:r w:rsidR="00834E16">
              <w:t xml:space="preserve">а и акты ввода в эксплуатацию, </w:t>
            </w:r>
            <w:r w:rsidR="00834E16" w:rsidRPr="00834E16">
              <w:t>документации на фондовую арматуру и колонные головки.</w:t>
            </w:r>
          </w:p>
        </w:tc>
        <w:tc>
          <w:tcPr>
            <w:tcW w:w="5244" w:type="dxa"/>
          </w:tcPr>
          <w:p w:rsidR="004E033C" w:rsidRDefault="00593836" w:rsidP="004E033C">
            <w:pPr>
              <w:ind w:firstLine="601"/>
              <w:jc w:val="both"/>
            </w:pPr>
            <w:r w:rsidRPr="00593836">
              <w:lastRenderedPageBreak/>
              <w:t xml:space="preserve">На данный вопрос Управлением дан ответ </w:t>
            </w:r>
            <w:r w:rsidRPr="00834E16">
              <w:t>следующего содержания:</w:t>
            </w:r>
          </w:p>
          <w:p w:rsidR="00834E16" w:rsidRPr="00834E16" w:rsidRDefault="00834E16" w:rsidP="004E033C">
            <w:pPr>
              <w:ind w:firstLine="601"/>
              <w:jc w:val="both"/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В соответствии с пунктом 7 Требований к регистрации объектов в государственном реестре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 xml:space="preserve">опасных производственных объектов и ведению государственного реестра опасных производственных объектов, </w:t>
            </w:r>
            <w:proofErr w:type="spellStart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утвержденн</w:t>
            </w:r>
            <w:r w:rsidRPr="00834E16">
              <w:rPr>
                <w:rStyle w:val="CharStyle9"/>
                <w:sz w:val="22"/>
                <w:szCs w:val="22"/>
              </w:rPr>
              <w:t>ых</w:t>
            </w:r>
            <w:proofErr w:type="spellEnd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00FF00"/>
                <w:lang w:val="ru"/>
              </w:rPr>
              <w:t xml:space="preserve">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Приказом Федеральной службы по экологическому, технологическому и атомному надзору от 25 ноября 20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16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г. № 495, зарегистрированного в Министерстве юстиции Российской Федерации 22 февраля 2017 г., регистрационный №45760 (далее </w:t>
            </w:r>
            <w:r w:rsidRPr="004E033C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- Требования), при осуществлении идентификации </w:t>
            </w:r>
            <w:proofErr w:type="spellStart"/>
            <w:r w:rsidRPr="004E033C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эксп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луатиру</w:t>
            </w:r>
            <w:r w:rsidRPr="00834E16">
              <w:rPr>
                <w:rStyle w:val="CharStyle9"/>
                <w:sz w:val="22"/>
                <w:szCs w:val="22"/>
              </w:rPr>
              <w:t>ющей</w:t>
            </w:r>
            <w:proofErr w:type="spellEnd"/>
            <w:r w:rsidRPr="00834E16">
              <w:rPr>
                <w:rStyle w:val="CharStyle9"/>
                <w:sz w:val="22"/>
                <w:szCs w:val="22"/>
              </w:rPr>
              <w:t xml:space="preserve"> организацией должны быть выя</w:t>
            </w:r>
            <w:proofErr w:type="spellStart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влены</w:t>
            </w:r>
            <w:proofErr w:type="spellEnd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все признаки опасности на объекте, учтены их количественные ж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опасности, позволяющие отнести такой объект к категории опасных производственных объектов. Разделом 4 приложения 1 к Требованиям установлено, опасный производственный объект (далее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-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ОПО) «Фонд скважин» идентифицируются по признаку использования и получения опасных веществ, использования оборудования, работающего под давлением более 0,07 МПа или при температуре нагрева воды более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115°С,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и грузоподъемных механизмов, и в состав</w:t>
            </w:r>
            <w:r w:rsidR="004E033C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объекта входят скважины всех категорий (пробуренные), замерные устройства, блок распределения воды, блок закачки химических реагентов, контрольно- измерительные приборы и автоматика, расположенные на территории месторождения (участка, площадки).</w:t>
            </w:r>
          </w:p>
          <w:p w:rsidR="004E033C" w:rsidRDefault="00834E16" w:rsidP="004E033C">
            <w:pPr>
              <w:pStyle w:val="Style2"/>
              <w:shd w:val="clear" w:color="auto" w:fill="auto"/>
              <w:spacing w:before="0" w:line="240" w:lineRule="auto"/>
              <w:ind w:left="20" w:right="4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Для регистрации ОПО в Реестре, в соответствии с пунктом 20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утвержденных Приказом Федеральной службы по экологическому, технологическому и атомному надзору от 8 апреля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2019 г. № 140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, зарегистрированного в Министерстве юстиции Российской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Федерации 16 августа 2019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г. регистрационный №55649 (далее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-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Административный регламент), заявитель прилагает к заявлению следующие документы, содержащие сведения, необходимые для формирования и ведения Реестра:</w:t>
            </w:r>
          </w:p>
          <w:p w:rsidR="00834E16" w:rsidRPr="00834E16" w:rsidRDefault="00834E16" w:rsidP="004E033C">
            <w:pPr>
              <w:pStyle w:val="Style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20" w:right="4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сведения, характеризующие ОПО (в 2 экземплярах), оформленные согласно приложению № 2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наличии);</w:t>
            </w:r>
          </w:p>
          <w:p w:rsidR="00834E16" w:rsidRPr="00834E16" w:rsidRDefault="00834E16" w:rsidP="004E033C">
            <w:pPr>
              <w:pStyle w:val="Style2"/>
              <w:numPr>
                <w:ilvl w:val="0"/>
                <w:numId w:val="1"/>
              </w:numPr>
              <w:shd w:val="clear" w:color="auto" w:fill="auto"/>
              <w:tabs>
                <w:tab w:val="left" w:pos="1057"/>
              </w:tabs>
              <w:spacing w:before="0" w:line="240" w:lineRule="auto"/>
              <w:ind w:left="20" w:right="4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 xml:space="preserve">копии документов, подтверждающих наличие на праве собственности или ином законном основании ОПО, в том числе земельных участков, зданий, строений и сооружений, на (в) </w:t>
            </w:r>
            <w:proofErr w:type="spellStart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котор</w:t>
            </w:r>
            <w:r w:rsidRPr="00834E16">
              <w:rPr>
                <w:rStyle w:val="CharStyle9"/>
                <w:sz w:val="22"/>
                <w:szCs w:val="22"/>
              </w:rPr>
              <w:t>ых</w:t>
            </w:r>
            <w:proofErr w:type="spellEnd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размещаются ОПО (для объектов недвижимости),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реквизиты документов, подтверждающих наличие на праве собственности или ином законном основании таких земельных участков, зданий, строений и сооружений);</w:t>
            </w:r>
          </w:p>
          <w:p w:rsidR="00834E16" w:rsidRPr="00834E16" w:rsidRDefault="00834E16" w:rsidP="004E033C">
            <w:pPr>
              <w:pStyle w:val="Style2"/>
              <w:numPr>
                <w:ilvl w:val="0"/>
                <w:numId w:val="1"/>
              </w:numPr>
              <w:shd w:val="clear" w:color="auto" w:fill="auto"/>
              <w:tabs>
                <w:tab w:val="left" w:pos="1244"/>
              </w:tabs>
              <w:spacing w:before="0" w:line="240" w:lineRule="auto"/>
              <w:ind w:left="20" w:right="4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копию обоснования безопасности ОПО с указанием реквизитов положительного заключения экспертизы промышленной безопасности;</w:t>
            </w:r>
          </w:p>
          <w:p w:rsidR="00834E16" w:rsidRPr="00834E16" w:rsidRDefault="00834E16" w:rsidP="004E033C">
            <w:pPr>
              <w:pStyle w:val="Style2"/>
              <w:numPr>
                <w:ilvl w:val="0"/>
                <w:numId w:val="1"/>
              </w:numPr>
              <w:shd w:val="clear" w:color="auto" w:fill="auto"/>
              <w:tabs>
                <w:tab w:val="left" w:pos="1062"/>
              </w:tabs>
              <w:spacing w:before="0" w:line="240" w:lineRule="auto"/>
              <w:ind w:left="20" w:right="4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копию текстовой части подраздела "Технологические решения" проектной документации (документации) на производственные объекты капитального строительства (с указ</w:t>
            </w:r>
            <w:proofErr w:type="spellStart"/>
            <w:r w:rsidRPr="00834E16">
              <w:rPr>
                <w:rStyle w:val="CharStyle9"/>
                <w:sz w:val="22"/>
                <w:szCs w:val="22"/>
              </w:rPr>
              <w:t>анием</w:t>
            </w:r>
            <w:proofErr w:type="spellEnd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реквизитов заключения соответствующей экспертизы,</w:t>
            </w:r>
            <w:r w:rsidRPr="00834E16">
              <w:rPr>
                <w:rStyle w:val="CharStyle9"/>
                <w:sz w:val="22"/>
                <w:szCs w:val="22"/>
              </w:rPr>
              <w:t xml:space="preserve">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утверждения и (или) регистрации в органах исполнительной власти данного заключения экспертизы);</w:t>
            </w:r>
          </w:p>
          <w:p w:rsidR="004E033C" w:rsidRDefault="00834E16" w:rsidP="004E033C">
            <w:pPr>
              <w:pStyle w:val="Style2"/>
              <w:shd w:val="clear" w:color="auto" w:fill="auto"/>
              <w:spacing w:before="0" w:line="240" w:lineRule="auto"/>
              <w:ind w:left="40" w:right="2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случае, если проектная документация ОПО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,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разработанная до вступления в силу постановлен</w:t>
            </w:r>
            <w:proofErr w:type="spellStart"/>
            <w:r w:rsidRPr="00834E16">
              <w:rPr>
                <w:rStyle w:val="CharStyle9"/>
                <w:sz w:val="22"/>
                <w:szCs w:val="22"/>
                <w:shd w:val="clear" w:color="auto" w:fill="auto"/>
              </w:rPr>
              <w:t>ие</w:t>
            </w:r>
            <w:proofErr w:type="spellEnd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Правительства Российской Федерации от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16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февраля 2008 г. N 87 «О составе разделов проектной документации и требованиях к их содержанию» (далее - постановление Правительства Российской Федерации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87), не содержит подраздела «Технологические решения», заявителем представляются документы, содержащие сведения об объекте капитального строительства, в объёме, установленном для соответствующего раздела проектной документации Положением о составе разделов проектной документации и требованиях к их содержанию, утверждённым постановлением Правительства Российской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Федерации №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87.</w:t>
            </w:r>
          </w:p>
          <w:p w:rsidR="00834E16" w:rsidRPr="00834E16" w:rsidRDefault="00834E16" w:rsidP="004E033C">
            <w:pPr>
              <w:pStyle w:val="Style2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40" w:right="2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опись документов.</w:t>
            </w:r>
          </w:p>
          <w:p w:rsidR="00834E16" w:rsidRPr="00834E16" w:rsidRDefault="00834E16" w:rsidP="004E033C">
            <w:pPr>
              <w:pStyle w:val="Style2"/>
              <w:shd w:val="clear" w:color="auto" w:fill="auto"/>
              <w:spacing w:before="0" w:line="240" w:lineRule="auto"/>
              <w:ind w:left="40" w:right="20" w:firstLine="601"/>
              <w:rPr>
                <w:sz w:val="22"/>
                <w:szCs w:val="22"/>
              </w:rPr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Пунктом 47 Федеральных норм и правил в области промышленной безопасности «Правила безопасности в нефтяной и газовой промышленности», утвержденных Приказом Федеральной службы по экологическому, технологическому и атомному надзору от 12 марта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2013 г. № 101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, зарегистрированного в Министерстве юстиции Российской Федерации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19 апреля 2013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г., регистрационный №28222 (далее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- ФНП №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101), установлено требование о том что применение технических устройств должно осуществляться в соответствии с инструкциями по безопасной эксплуатации и обслуживанию, составленными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 xml:space="preserve">заводами-изготовителями или эксплуатирующей организацией, техническими паспортами (формулярами). Инструкции по эксплуатации технических устройств и инструмента иностранного производства должны быть представлены на русском языке. Пунктом 67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ФНП №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101 установлено требование по достижении срока эксплуатации, установленного изготовителем, дальнейшая эксплуатация технического устройства без продления срока безопасной эксплуатации не разрешается.</w:t>
            </w:r>
          </w:p>
          <w:p w:rsidR="00834E16" w:rsidRDefault="00834E16" w:rsidP="004E033C">
            <w:pPr>
              <w:ind w:firstLine="601"/>
              <w:jc w:val="both"/>
            </w:pP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В соответствии с пунктом 6 федеральных норм и правил в области промышленной безопасности "Правила проведения экспертизы промышленной безопасности", утвержденных Приказом Федеральной службы по экологическому,</w:t>
            </w:r>
            <w:r w:rsidRPr="00834E16">
              <w:rPr>
                <w:rStyle w:val="CharStyle9"/>
                <w:sz w:val="22"/>
                <w:szCs w:val="22"/>
              </w:rPr>
              <w:t xml:space="preserve"> 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технологическому и атомному надзору от 14 ноября 2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013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г. № 538, зарегистрированного в Министерстве юстиции Российской Федерации 26 декабря 2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013</w:t>
            </w:r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г., регистрационный № 30855, Техническое устройство, применяемое на ОПО подлежит экспертизе при отсутствии в технической документации </w:t>
            </w:r>
            <w:proofErr w:type="spellStart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>данн</w:t>
            </w:r>
            <w:r w:rsidRPr="00834E16">
              <w:rPr>
                <w:rStyle w:val="CharStyle9"/>
                <w:sz w:val="22"/>
                <w:szCs w:val="22"/>
              </w:rPr>
              <w:t>ых</w:t>
            </w:r>
            <w:proofErr w:type="spellEnd"/>
            <w:r w:rsidRPr="00834E16">
              <w:rPr>
                <w:rStyle w:val="CharStyle9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о сроке службы такого технического устройства, если фактический срок его службы превышает двадцать лет.</w:t>
            </w:r>
          </w:p>
        </w:tc>
      </w:tr>
      <w:tr w:rsidR="00056037" w:rsidTr="00056037">
        <w:tc>
          <w:tcPr>
            <w:tcW w:w="1413" w:type="dxa"/>
          </w:tcPr>
          <w:p w:rsidR="00056037" w:rsidRDefault="00AC2040">
            <w:bookmarkStart w:id="0" w:name="_GoBack"/>
            <w:bookmarkEnd w:id="0"/>
            <w:r>
              <w:lastRenderedPageBreak/>
              <w:t>27.11.2019</w:t>
            </w:r>
          </w:p>
        </w:tc>
        <w:tc>
          <w:tcPr>
            <w:tcW w:w="3544" w:type="dxa"/>
          </w:tcPr>
          <w:p w:rsidR="003C2257" w:rsidRDefault="00B560E8" w:rsidP="00635487">
            <w:pPr>
              <w:ind w:firstLine="459"/>
              <w:jc w:val="both"/>
            </w:pPr>
            <w:r w:rsidRPr="004E033C">
              <w:t xml:space="preserve">В Северо-Уральское управление Ростехнадзора поступило письмо заявителя с просьбой </w:t>
            </w:r>
            <w:r>
              <w:t>о</w:t>
            </w:r>
            <w:r w:rsidR="003C2257">
              <w:t xml:space="preserve"> даче пояснений:</w:t>
            </w:r>
          </w:p>
          <w:p w:rsidR="003C2257" w:rsidRDefault="003C2257" w:rsidP="00B560E8">
            <w:pPr>
              <w:jc w:val="both"/>
            </w:pPr>
            <w:r>
              <w:t>1.</w:t>
            </w:r>
            <w:r>
              <w:tab/>
              <w:t xml:space="preserve">Возможно ли продление срока службы приборам контроля, управления и ПАЗ, </w:t>
            </w:r>
            <w:proofErr w:type="spellStart"/>
            <w:r>
              <w:t>СиО</w:t>
            </w:r>
            <w:proofErr w:type="spellEnd"/>
            <w:r>
              <w:t xml:space="preserve"> по результатам ЭПБ, если в паспортах на данные приборы указан «назначенный срок службы»?</w:t>
            </w:r>
          </w:p>
          <w:p w:rsidR="003C2257" w:rsidRDefault="003C2257" w:rsidP="00B560E8">
            <w:pPr>
              <w:jc w:val="both"/>
            </w:pPr>
            <w:r>
              <w:t>2.</w:t>
            </w:r>
            <w:r>
              <w:tab/>
              <w:t xml:space="preserve">Возможно ли продление срока службы приборам контроля, управления и ПАЗ, </w:t>
            </w:r>
            <w:proofErr w:type="spellStart"/>
            <w:r>
              <w:t>СиО</w:t>
            </w:r>
            <w:proofErr w:type="spellEnd"/>
            <w:r>
              <w:t xml:space="preserve"> по результатам ЭПБ, если в паспортах на данные приборы указан «полный средний срок службы»?</w:t>
            </w:r>
          </w:p>
          <w:p w:rsidR="00056037" w:rsidRDefault="003C2257" w:rsidP="00B560E8">
            <w:pPr>
              <w:jc w:val="both"/>
            </w:pPr>
            <w:r>
              <w:t>3.</w:t>
            </w:r>
            <w:r>
              <w:tab/>
              <w:t xml:space="preserve">Возможно ли продление срока службы приборам контроля, управления и ПАЗ, </w:t>
            </w:r>
            <w:proofErr w:type="spellStart"/>
            <w:r>
              <w:t>СиО</w:t>
            </w:r>
            <w:proofErr w:type="spellEnd"/>
            <w:r>
              <w:t xml:space="preserve"> по результатам поверки, если в паспортах на данные приборы указан «полный средний срок службы»?</w:t>
            </w:r>
          </w:p>
        </w:tc>
        <w:tc>
          <w:tcPr>
            <w:tcW w:w="5244" w:type="dxa"/>
          </w:tcPr>
          <w:p w:rsidR="00056037" w:rsidRPr="00B560E8" w:rsidRDefault="003C2257" w:rsidP="00635487">
            <w:pPr>
              <w:ind w:firstLine="742"/>
              <w:jc w:val="both"/>
            </w:pPr>
            <w:r w:rsidRPr="00B560E8">
              <w:t>На данный вопрос Управлением дан ответ следующего содержания:</w:t>
            </w:r>
          </w:p>
          <w:p w:rsidR="00B560E8" w:rsidRPr="00B560E8" w:rsidRDefault="00B560E8" w:rsidP="00B560E8">
            <w:pPr>
              <w:pStyle w:val="Style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В соответствии с частью 2 статьи 7 Федерального закона от 21.07.1997 </w:t>
            </w:r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№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116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-ФЗ «О промышленной безопасности </w:t>
            </w:r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опасных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производственных объ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е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ктов» (далее - Федеральный закон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6-ФЗ), техническое устройство под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ле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жит экспертизе промышленной безопасности по истечении срока службы или при превышении количества циклов нагрузки такого технического устройства, установленных его производителем.</w:t>
            </w:r>
          </w:p>
          <w:p w:rsidR="00B560E8" w:rsidRPr="00B560E8" w:rsidRDefault="00B560E8" w:rsidP="00B560E8">
            <w:pPr>
              <w:pStyle w:val="Style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Согласно статье 1 Федерального закона №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6-ФЗ, к техническим устройствам, применяемым на опасном производственном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объекте, </w:t>
            </w:r>
            <w:proofErr w:type="spell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отно</w:t>
            </w:r>
            <w:r w:rsidRPr="00B560E8">
              <w:rPr>
                <w:rStyle w:val="CharStyle7"/>
                <w:sz w:val="22"/>
                <w:szCs w:val="22"/>
              </w:rPr>
              <w:t>сятся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машины, технологическое оборудование, системы машин и (или) оборудования, агрегаты, аппаратура, механизмы, приме</w:t>
            </w:r>
            <w:proofErr w:type="spellStart"/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няемые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при эксплуатации опасного производственного объекта.</w:t>
            </w:r>
          </w:p>
          <w:p w:rsidR="00B560E8" w:rsidRPr="00B560E8" w:rsidRDefault="00B560E8" w:rsidP="00B560E8">
            <w:pPr>
              <w:pStyle w:val="Style6"/>
              <w:shd w:val="clear" w:color="auto" w:fill="auto"/>
              <w:spacing w:after="0"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Исходя из вышеизложенного, системы контроля, управл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е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ния и противоаварийной защиты, связи и оповещения не являются техническими устройствами. Проведение экспертизы </w:t>
            </w:r>
            <w:proofErr w:type="spell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промышле</w:t>
            </w:r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нно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й безопасности для систем контроля, управления и противоаварийной защиты, связи и </w:t>
            </w:r>
            <w:proofErr w:type="spell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о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п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ове</w:t>
            </w:r>
            <w:proofErr w:type="spellEnd"/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щ</w:t>
            </w:r>
            <w:proofErr w:type="spell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ения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не предусмотрено.</w:t>
            </w:r>
          </w:p>
          <w:p w:rsidR="00B560E8" w:rsidRPr="00B560E8" w:rsidRDefault="00B560E8" w:rsidP="00B560E8">
            <w:pPr>
              <w:pStyle w:val="Style6"/>
              <w:shd w:val="clear" w:color="auto" w:fill="auto"/>
              <w:spacing w:after="0" w:line="240" w:lineRule="auto"/>
              <w:ind w:left="20" w:right="20" w:firstLine="700"/>
              <w:jc w:val="both"/>
              <w:rPr>
                <w:sz w:val="22"/>
                <w:szCs w:val="22"/>
              </w:rPr>
            </w:pP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Согласно пункту 6.6.2 Федеральных норм и правил в области промышл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е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нной безопасности «Общие правила взрывобезопасности для </w:t>
            </w:r>
            <w:proofErr w:type="spell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взрыво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по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жароопаспых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химических,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 xml:space="preserve">нефтехимических и нефтеперерабатывающих производств», утверждённых приказом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Р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остехнадзора от 11.03.2013 96, средства измерения, входящие в систему контроля, управления и ПАЗ, и </w:t>
            </w:r>
            <w:proofErr w:type="spell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информа</w:t>
            </w:r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ционно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-измерите</w:t>
            </w:r>
            <w:proofErr w:type="spellStart"/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льные</w:t>
            </w:r>
            <w:proofErr w:type="spell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системы должны иметь документа</w:t>
            </w:r>
            <w:proofErr w:type="spellStart"/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ционное</w:t>
            </w:r>
            <w:proofErr w:type="spellEnd"/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 xml:space="preserve">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подтверждение об утверждении типа средств измерений и документы о прохождении поверки.</w:t>
            </w:r>
          </w:p>
          <w:p w:rsidR="00B560E8" w:rsidRPr="00B560E8" w:rsidRDefault="00B560E8" w:rsidP="00B560E8">
            <w:pPr>
              <w:pStyle w:val="Style6"/>
              <w:shd w:val="clear" w:color="auto" w:fill="auto"/>
              <w:spacing w:after="0" w:line="240" w:lineRule="auto"/>
              <w:ind w:left="20" w:right="20" w:firstLine="700"/>
              <w:jc w:val="both"/>
              <w:rPr>
                <w:sz w:val="22"/>
                <w:szCs w:val="22"/>
              </w:rPr>
            </w:pP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Согласно пункту 17 статьи 2 Федерального закона от 26.06.2008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02-ФЗ «Об обеспечении единства измерений</w:t>
            </w:r>
            <w:proofErr w:type="gramStart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»</w:t>
            </w:r>
            <w:proofErr w:type="gramEnd"/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(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далее -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Федеральный закон 102-ФЗ), поверка средств измерений - это совокупность операций, выполняемых в целях подтверждения соответствия средства измерений метрологическим требованиям.</w:t>
            </w:r>
          </w:p>
          <w:p w:rsidR="00B560E8" w:rsidRPr="00B560E8" w:rsidRDefault="00B560E8" w:rsidP="00B560E8">
            <w:pPr>
              <w:pStyle w:val="Style6"/>
              <w:shd w:val="clear" w:color="auto" w:fill="auto"/>
              <w:spacing w:after="0" w:line="240" w:lineRule="auto"/>
              <w:ind w:left="20" w:right="20" w:firstLine="700"/>
              <w:jc w:val="both"/>
              <w:rPr>
                <w:sz w:val="22"/>
                <w:szCs w:val="22"/>
              </w:rPr>
            </w:pP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Таким образом, результаты поверки средств измерений, входя</w:t>
            </w:r>
            <w:r w:rsidRPr="00B560E8">
              <w:rPr>
                <w:rStyle w:val="CharStyle7"/>
                <w:sz w:val="22"/>
                <w:szCs w:val="22"/>
                <w:shd w:val="clear" w:color="auto" w:fill="auto"/>
              </w:rPr>
              <w:t>щи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х в состав систем контроля, управления и противоаварийной защиты, связи и </w:t>
            </w:r>
            <w:r w:rsidRPr="00B560E8">
              <w:rPr>
                <w:rStyle w:val="CharStyle7"/>
                <w:sz w:val="22"/>
                <w:szCs w:val="22"/>
              </w:rPr>
              <w:t xml:space="preserve">оповещения, не могут служит </w:t>
            </w:r>
            <w:r w:rsidRPr="00B560E8">
              <w:rPr>
                <w:rStyle w:val="CharStyle7"/>
                <w:rFonts w:eastAsia="Times New Roman" w:cs="Times New Roman"/>
                <w:color w:val="000000"/>
                <w:sz w:val="22"/>
                <w:szCs w:val="22"/>
                <w:lang w:val="ru"/>
              </w:rPr>
              <w:t>основанием для продления их срока службы.</w:t>
            </w:r>
          </w:p>
          <w:p w:rsidR="003C2257" w:rsidRPr="00B560E8" w:rsidRDefault="003C2257" w:rsidP="00B560E8"/>
        </w:tc>
      </w:tr>
      <w:tr w:rsidR="00056037" w:rsidTr="00056037">
        <w:tc>
          <w:tcPr>
            <w:tcW w:w="1413" w:type="dxa"/>
          </w:tcPr>
          <w:p w:rsidR="00056037" w:rsidRDefault="00AC2040">
            <w:r>
              <w:lastRenderedPageBreak/>
              <w:t>04.12.2019</w:t>
            </w:r>
          </w:p>
        </w:tc>
        <w:tc>
          <w:tcPr>
            <w:tcW w:w="3544" w:type="dxa"/>
          </w:tcPr>
          <w:p w:rsidR="00056037" w:rsidRDefault="00AC2040" w:rsidP="00AC2040">
            <w:pPr>
              <w:ind w:firstLine="459"/>
              <w:jc w:val="both"/>
            </w:pPr>
            <w:r w:rsidRPr="00AC2040">
              <w:t>В Северо-Уральское управление Ростехнадзора поступило письмо заявителя с просьбой о разъяснении лицензионных требований - п. 4 Постановления Правительства № 492 от 10.06.2013 в части: наличия создаваемых материальных ресурсов для локализации и ликвидации последствий аварии</w:t>
            </w:r>
          </w:p>
        </w:tc>
        <w:tc>
          <w:tcPr>
            <w:tcW w:w="5244" w:type="dxa"/>
          </w:tcPr>
          <w:p w:rsidR="00056037" w:rsidRPr="00AC2040" w:rsidRDefault="00AC2040" w:rsidP="00AC2040">
            <w:pPr>
              <w:ind w:firstLine="459"/>
              <w:jc w:val="both"/>
            </w:pPr>
            <w:r w:rsidRPr="00AC2040">
              <w:t>На данный вопрос Управлением дан ответ следующего содержания:</w:t>
            </w:r>
          </w:p>
          <w:p w:rsidR="00AC2040" w:rsidRPr="00AC2040" w:rsidRDefault="00AC2040" w:rsidP="00AC2040">
            <w:pPr>
              <w:pStyle w:val="Style5"/>
              <w:shd w:val="clear" w:color="auto" w:fill="auto"/>
              <w:spacing w:after="0" w:line="240" w:lineRule="auto"/>
              <w:ind w:left="40" w:right="20" w:firstLine="459"/>
              <w:rPr>
                <w:sz w:val="22"/>
                <w:szCs w:val="22"/>
              </w:rPr>
            </w:pP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Частью 1 статьи 10 Федерального закона от 21.07.1997 № 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116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>-ФЗ «О промышленной безопасности опасных производственных объектов» установлено, что в целях обеспечения готовности к действиям по локализации и ликвидации последствий аварий организация, эксплуатирующая опасный производственный объект, обязана, в том числе, планировать и осуществлять мероприятия по локализации и ликвидации последствий аварий на опасном производственном объекте; 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Федерации.</w:t>
            </w:r>
          </w:p>
          <w:p w:rsidR="00AC2040" w:rsidRPr="00AC2040" w:rsidRDefault="00AC2040" w:rsidP="00AC2040">
            <w:pPr>
              <w:pStyle w:val="Style5"/>
              <w:shd w:val="clear" w:color="auto" w:fill="auto"/>
              <w:spacing w:after="0" w:line="240" w:lineRule="auto"/>
              <w:ind w:left="40" w:right="20" w:firstLine="459"/>
              <w:rPr>
                <w:sz w:val="22"/>
                <w:szCs w:val="22"/>
              </w:rPr>
            </w:pP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Постановлением Правительства Российской Федерации от 26.08.2013 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>№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730 утверждено Положение и разработке планов мероприятий по локализации и ликвидации последствий аварий на опасных производственных объектах, пунктом 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10 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>которого определено, что план мероприятий должен предусматривать организацию материально-технического, инженерного и финансового обеспечения операций по локализации и ликвидации аварий на объекте.</w:t>
            </w:r>
          </w:p>
          <w:p w:rsidR="00AC2040" w:rsidRPr="00AC2040" w:rsidRDefault="00AC2040" w:rsidP="00AC2040">
            <w:pPr>
              <w:pStyle w:val="Style5"/>
              <w:shd w:val="clear" w:color="auto" w:fill="auto"/>
              <w:spacing w:after="0" w:line="240" w:lineRule="auto"/>
              <w:ind w:left="40" w:right="20" w:firstLine="459"/>
              <w:rPr>
                <w:sz w:val="22"/>
                <w:szCs w:val="22"/>
              </w:rPr>
            </w:pP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>Приказом Федеральной службы по экологическому, технологическому и атомному надзору от 26.12.2012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shd w:val="clear" w:color="auto" w:fill="auto"/>
                <w:lang w:val="ru"/>
              </w:rPr>
              <w:t xml:space="preserve"> №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781 утверждены Рекомендации по разработке</w:t>
            </w:r>
            <w:r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 xml:space="preserve"> </w:t>
            </w: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>планов локализации и ликвидации аварий на взрывопожароопасных и химически опасных производственных объектах.</w:t>
            </w:r>
          </w:p>
          <w:p w:rsidR="00AC2040" w:rsidRPr="00AC2040" w:rsidRDefault="00AC2040" w:rsidP="00AC2040">
            <w:pPr>
              <w:ind w:firstLine="459"/>
              <w:jc w:val="both"/>
            </w:pPr>
            <w:r w:rsidRPr="00AC2040"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lastRenderedPageBreak/>
              <w:t>Резерв финансовых средств и материальных ресурсов для локализации и ликвидации последствий аварий на опасных производственных объектах формируется организациями, эксплуатирующими опасные производственные объекты, на основании расчетных данных, полученных в результате идентификации опасностей и оценки риска аварий, имевших место на конкретном опасном производственном объекте и на аналогичных объектах</w:t>
            </w:r>
            <w:r>
              <w:rPr>
                <w:rStyle w:val="CharStyle6"/>
                <w:rFonts w:eastAsia="Times New Roman" w:cs="Times New Roman"/>
                <w:color w:val="000000"/>
                <w:sz w:val="22"/>
                <w:szCs w:val="22"/>
                <w:lang w:val="ru"/>
              </w:rPr>
              <w:t>.</w:t>
            </w:r>
          </w:p>
          <w:p w:rsidR="00AC2040" w:rsidRDefault="00AC2040" w:rsidP="00AC2040">
            <w:pPr>
              <w:ind w:firstLine="459"/>
              <w:jc w:val="both"/>
            </w:pPr>
          </w:p>
        </w:tc>
      </w:tr>
      <w:tr w:rsidR="00056037" w:rsidTr="00056037">
        <w:tc>
          <w:tcPr>
            <w:tcW w:w="1413" w:type="dxa"/>
          </w:tcPr>
          <w:p w:rsidR="00056037" w:rsidRDefault="00C976D3">
            <w:r>
              <w:t>09.12.2019</w:t>
            </w:r>
          </w:p>
        </w:tc>
        <w:tc>
          <w:tcPr>
            <w:tcW w:w="3544" w:type="dxa"/>
          </w:tcPr>
          <w:p w:rsidR="00056037" w:rsidRDefault="00C976D3" w:rsidP="00D263B0">
            <w:pPr>
              <w:ind w:firstLine="601"/>
              <w:jc w:val="both"/>
            </w:pPr>
            <w:r w:rsidRPr="00C976D3">
              <w:t xml:space="preserve">В Северо-Уральское управление Ростехнадзора поступило письмо заявителя с просьбой о разъяснении </w:t>
            </w:r>
            <w:r w:rsidR="00AC2040" w:rsidRPr="00AC2040">
              <w:t>перечня и периодичности возможности подверга</w:t>
            </w:r>
            <w:r>
              <w:t xml:space="preserve">ть ультразвуковой дефектоскопии </w:t>
            </w:r>
            <w:r w:rsidR="00AC2040" w:rsidRPr="00AC2040">
              <w:t>противовыбросового оборудования</w:t>
            </w:r>
          </w:p>
        </w:tc>
        <w:tc>
          <w:tcPr>
            <w:tcW w:w="5244" w:type="dxa"/>
          </w:tcPr>
          <w:p w:rsidR="00056037" w:rsidRDefault="00C976D3" w:rsidP="00D263B0">
            <w:pPr>
              <w:ind w:firstLine="317"/>
              <w:jc w:val="both"/>
            </w:pPr>
            <w:r w:rsidRPr="00C976D3">
              <w:t>На данный вопрос Управлением дан ответ следующего содержания:</w:t>
            </w:r>
          </w:p>
          <w:p w:rsidR="00D263B0" w:rsidRDefault="00D263B0" w:rsidP="00D263B0">
            <w:pPr>
              <w:ind w:firstLine="317"/>
              <w:jc w:val="both"/>
            </w:pPr>
            <w:r>
              <w:t>На основании п. 252, 253, 257 Федеральных норм и правил в области промышленной безопасности «Правила безопасности в нефтяной и газовой промышленности» (утвержденного приказом Ростехнадзора от 12.03.2013 № 101):</w:t>
            </w:r>
          </w:p>
          <w:p w:rsidR="00D263B0" w:rsidRDefault="00D263B0" w:rsidP="00D263B0">
            <w:pPr>
              <w:ind w:firstLine="317"/>
              <w:jc w:val="both"/>
            </w:pPr>
            <w:r>
              <w:t>Превенторная установка, манифольд (линии дросселирования и глушения), система гидроуправления превенторами, пульт управления дросселем, сепаратор (трапно-факельная установка) выбираются в зависимости от конкретных горно-геологических условий с учетом возможности выполнения следующих технологических операций: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</w:t>
            </w:r>
            <w:r>
              <w:tab/>
              <w:t>герметизации устья скважины при спущенной бурильной колонне и без нее;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</w:t>
            </w:r>
            <w:r>
              <w:tab/>
              <w:t>вымыва пластового флюида, поступившего в скважину, на поверхность;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</w:t>
            </w:r>
            <w:r>
              <w:tab/>
              <w:t>подвески колонны бурильных труб на плашках превентора после его закрытия;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</w:t>
            </w:r>
            <w:r>
              <w:tab/>
              <w:t>срезания бурильной колонны;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</w:t>
            </w:r>
            <w:r>
              <w:tab/>
              <w:t>контроля состояния скважины во время глушения;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□расхаживания бурильной колонны для предотвращения ее прихвата;</w:t>
            </w:r>
          </w:p>
          <w:p w:rsidR="00D263B0" w:rsidRDefault="00D263B0" w:rsidP="00D263B0">
            <w:pPr>
              <w:ind w:firstLine="317"/>
              <w:jc w:val="both"/>
            </w:pPr>
            <w:r>
              <w:t>□спуска или подъема части, или всей бурильной колонны при загерметизированном устье скважины.</w:t>
            </w:r>
          </w:p>
          <w:p w:rsidR="00D263B0" w:rsidRDefault="00D263B0" w:rsidP="00D263B0">
            <w:pPr>
              <w:ind w:firstLine="317"/>
              <w:jc w:val="both"/>
            </w:pPr>
            <w:r>
              <w:t>Выбор типа противовыбросового оборудования и колонной головки, схема установки и обвязки противовыбросового оборудования, блоков глушения и дросселирования осуществляется проектной организацией и согласовывается с заказчиком.</w:t>
            </w:r>
          </w:p>
          <w:p w:rsidR="00D263B0" w:rsidRDefault="00D263B0" w:rsidP="00D263B0">
            <w:pPr>
              <w:ind w:firstLine="317"/>
              <w:jc w:val="both"/>
            </w:pPr>
            <w:r>
              <w:t>Противовыбросовое оборудование должно собираться из узлов и деталей заводского изготовления отечественной или импортной поставки.</w:t>
            </w:r>
          </w:p>
          <w:p w:rsidR="00D263B0" w:rsidRDefault="00D263B0" w:rsidP="00D263B0">
            <w:pPr>
              <w:ind w:firstLine="317"/>
              <w:jc w:val="both"/>
            </w:pPr>
            <w:r>
              <w:t xml:space="preserve">В соответствии с пунктом 47 вышеуказанных правил применение технических устройств должно осуществляться в соответствии с инструкциями по безопасной эксплуатации и обслуживанию, составленными заводами-изготовителями или </w:t>
            </w:r>
            <w:r>
              <w:lastRenderedPageBreak/>
              <w:t>эксплуатирующей организацией, техническими паспортами (формулярами).</w:t>
            </w:r>
          </w:p>
          <w:p w:rsidR="00D263B0" w:rsidRDefault="00D263B0" w:rsidP="00D263B0">
            <w:pPr>
              <w:ind w:firstLine="317"/>
              <w:jc w:val="both"/>
            </w:pPr>
            <w:r>
              <w:t>Разрешается применение отдельных узлов и деталей, изготовленных на базах производственного обслуживания организации в соответствии с техническими условиями, согласованными с противофонтанной службой (противофонтанной военизированной частью). Изготовленные узлы и детали должны иметь технические паспорта.</w:t>
            </w:r>
          </w:p>
          <w:p w:rsidR="00D263B0" w:rsidRDefault="00D263B0" w:rsidP="00D263B0">
            <w:pPr>
              <w:ind w:firstLine="317"/>
              <w:jc w:val="both"/>
            </w:pPr>
            <w:r>
              <w:t>В соответствии с пунктами 409, 412, 413, 414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(утвержденных приказом Ростехнадзора от 25.03.2014 № 116):</w:t>
            </w:r>
          </w:p>
          <w:p w:rsidR="00D263B0" w:rsidRDefault="00D263B0" w:rsidP="00D263B0">
            <w:pPr>
              <w:ind w:firstLine="317"/>
              <w:jc w:val="both"/>
            </w:pPr>
            <w:r>
              <w:t>При эксплуатации ОПО, на которых используется оборудование под давлением, в соответствии с требованиями законодательства Российской Федерации в области промышленной безопасности должно быть обеспечено проведение экспертизы промышленной безопасности документации, зданий, сооружений ОПО и оборудования под давлением, а также испытаний, технического диагностирования, технических освидетельствований оборудования под давлением в случаях, предусмотренных нормативными правовыми актами Российской Федерации.</w:t>
            </w:r>
          </w:p>
          <w:p w:rsidR="00D263B0" w:rsidRDefault="00D263B0" w:rsidP="00D263B0">
            <w:pPr>
              <w:ind w:firstLine="317"/>
              <w:jc w:val="both"/>
            </w:pPr>
            <w:r>
              <w:t>Техническое диагностирование с проведением неразрушающего и (или) разрушающего контроля (при необходимости) оборудования под давлением в процессе его эксплуатации в пределах установленного изготовителем срока службы (ресурса) необходимо проводить:</w:t>
            </w:r>
          </w:p>
          <w:p w:rsidR="00D263B0" w:rsidRDefault="00D263B0" w:rsidP="00D263B0">
            <w:pPr>
              <w:ind w:firstLine="317"/>
              <w:jc w:val="both"/>
            </w:pPr>
            <w:proofErr w:type="gramStart"/>
            <w:r>
              <w:t>а)</w:t>
            </w:r>
            <w:r>
              <w:tab/>
            </w:r>
            <w:proofErr w:type="gramEnd"/>
            <w:r>
              <w:t>при проведении технического освидетельствования в случаях, установленных руководством по эксплуатации оборудования под давлением, а также по решению специалиста эксплуатирующей или специализированной организации, выполняющего техническое освидетельствование, в целях уточнения характера и размеров дефектов, выявленных по результатам визуального контроля;</w:t>
            </w:r>
          </w:p>
          <w:p w:rsidR="00D263B0" w:rsidRDefault="00D263B0" w:rsidP="00D263B0">
            <w:pPr>
              <w:ind w:firstLine="317"/>
              <w:jc w:val="both"/>
            </w:pPr>
            <w:proofErr w:type="gramStart"/>
            <w:r>
              <w:t>б)</w:t>
            </w:r>
            <w:r>
              <w:tab/>
            </w:r>
            <w:proofErr w:type="gramEnd"/>
            <w:r>
              <w:t>при проведении эксплуатационного контроля металла или иного материала оборудования под давлением либо отдельных его элементов в случаях, установленных для соответствующего оборудования руководствами (инструкциями) по эксплуатации и нормативными документами, принятыми в организации;</w:t>
            </w:r>
          </w:p>
          <w:p w:rsidR="00D263B0" w:rsidRDefault="00D263B0" w:rsidP="00D263B0">
            <w:pPr>
              <w:ind w:firstLine="317"/>
              <w:jc w:val="both"/>
            </w:pPr>
            <w:proofErr w:type="gramStart"/>
            <w:r>
              <w:t>в)</w:t>
            </w:r>
            <w:r>
              <w:tab/>
            </w:r>
            <w:proofErr w:type="gramEnd"/>
            <w:r>
              <w:t xml:space="preserve">при расследовании инцидента, произошедшего с оборудованием вследствие образовавшихся в процессе его эксплуатации </w:t>
            </w:r>
            <w:r>
              <w:lastRenderedPageBreak/>
              <w:t xml:space="preserve">дефектов, в целях установления характера, размеров и причин их возникновения. Определение понятия "инцидент" применительно к оборудованию под давлением приведено в приложении № 1 к настоящим </w:t>
            </w:r>
            <w:proofErr w:type="spellStart"/>
            <w:r>
              <w:t>ФНиП</w:t>
            </w:r>
            <w:proofErr w:type="spellEnd"/>
            <w:r>
              <w:t>.</w:t>
            </w:r>
          </w:p>
          <w:p w:rsidR="00D263B0" w:rsidRDefault="00D263B0" w:rsidP="00D263B0">
            <w:pPr>
              <w:ind w:firstLine="317"/>
              <w:jc w:val="both"/>
            </w:pPr>
            <w:r>
              <w:t>По результатам выполненного при проведении технического диагностирования оборудования под давлением (в пределах его срока службы) неразрушающего и разрушающего контроля оформляют (на каждый метод контроля) первичные документы (протоколы, отчеты, заключения) по форме, установленной в специализированной организации, которые подписывают специалисты, выполнившие указанные работы. На основании первичных документов составляется акт (технический отчет) о проведении технического диагностирования, неразрушающего и разрушающего контроля с приложением к нему документов по неразрушающему и разрушающему контролю. Акт (технический отчет) о проведении технического диагностирования, неразрушающего и разрушающего контроля подписывается руководителем проводившей их организации и прикладывается к паспорту оборудования под давлением. Сведения о результатах и причинах проведения технического диагностирования, неразрушающего и разрушаюшего контроля записывает в паспорт оборудования уполномоченный представитель организации, их проводившей, или специалист эксплуатирующей организации, ответственный за исправное состояние и безопасную эксплуатацию оборудования.</w:t>
            </w:r>
          </w:p>
          <w:p w:rsidR="00C976D3" w:rsidRDefault="00D263B0" w:rsidP="00D263B0">
            <w:pPr>
              <w:ind w:firstLine="317"/>
              <w:jc w:val="both"/>
            </w:pPr>
            <w:r>
              <w:t xml:space="preserve">Техническое диагностирование, проводимое в рамках экспертизы промышленной безопасности специализированной организацией, имеющей лицензию на осуществление деятельности по проведению экспертизы промышленной безопасности технических устройств, применяемых на ОПО, в целях установления фактического состояния оборудования под давлением на момент проведения экспертизы, необходимо выполнять в случаях, указанных в подпунктах "б" , "в" , "г" пункта 411 настоящих </w:t>
            </w:r>
            <w:proofErr w:type="spellStart"/>
            <w:r>
              <w:t>ФНиП</w:t>
            </w:r>
            <w:proofErr w:type="spellEnd"/>
            <w:r>
              <w:t xml:space="preserve"> , а также при обнаружении экспертами в процессе осмотра оборудования дефектов, вызывающих сомнение в прочности конструкции, или дефектов, причину которых установить затруднительно, и в иных случаях, определяемых руководителем организации, проводящей экспертизу, по согласованию с эксплуатирующей организацией.</w:t>
            </w:r>
          </w:p>
        </w:tc>
      </w:tr>
      <w:tr w:rsidR="00056037" w:rsidTr="00056037">
        <w:tc>
          <w:tcPr>
            <w:tcW w:w="1413" w:type="dxa"/>
          </w:tcPr>
          <w:p w:rsidR="00056037" w:rsidRDefault="00D263B0">
            <w:r>
              <w:lastRenderedPageBreak/>
              <w:t>24.12.2019</w:t>
            </w:r>
          </w:p>
        </w:tc>
        <w:tc>
          <w:tcPr>
            <w:tcW w:w="3544" w:type="dxa"/>
          </w:tcPr>
          <w:p w:rsidR="00056037" w:rsidRDefault="00D263B0" w:rsidP="00D263B0">
            <w:pPr>
              <w:ind w:firstLine="601"/>
              <w:jc w:val="both"/>
            </w:pPr>
            <w:r w:rsidRPr="00C976D3">
              <w:t>В Северо-Уральское управление Ростехнадзора поступило письмо заявителя с просьбой</w:t>
            </w:r>
            <w:r w:rsidRPr="00D263B0">
              <w:t xml:space="preserve"> о разъяснении </w:t>
            </w:r>
            <w:r w:rsidRPr="00D263B0">
              <w:lastRenderedPageBreak/>
              <w:t>технических требований для подключения Единого портала тестирования</w:t>
            </w:r>
          </w:p>
        </w:tc>
        <w:tc>
          <w:tcPr>
            <w:tcW w:w="5244" w:type="dxa"/>
          </w:tcPr>
          <w:p w:rsidR="00A41E1E" w:rsidRDefault="00A41E1E" w:rsidP="00A41E1E">
            <w:pPr>
              <w:ind w:firstLine="600"/>
              <w:jc w:val="both"/>
            </w:pPr>
            <w:r w:rsidRPr="00C976D3">
              <w:lastRenderedPageBreak/>
              <w:t>На данный вопрос Управлением дан ответ следующего содержания:</w:t>
            </w:r>
          </w:p>
          <w:p w:rsidR="00A41E1E" w:rsidRDefault="00A41E1E" w:rsidP="00A41E1E">
            <w:pPr>
              <w:ind w:firstLine="600"/>
            </w:pPr>
            <w:r>
              <w:lastRenderedPageBreak/>
              <w:t>Техническую поддержку ИС «Единый портал тестирования» (далее – ИС ЕПТ) осуществляет ФБУ «Учебно-методический кабинет» Ростехнадзора.</w:t>
            </w:r>
          </w:p>
          <w:p w:rsidR="00056037" w:rsidRDefault="00A41E1E" w:rsidP="00A41E1E">
            <w:pPr>
              <w:ind w:firstLine="600"/>
            </w:pPr>
            <w:r>
              <w:t>Ознакомиться с техническими требованиями для подключения к ИС ЕПТ можно на сайте ФБУ «Учебно-методический кабинет» Ростехнадзора https://umkrtn.ru/tehnicheskaya-podderzhka-is-ept/, а также информация указана на сайте Ростехнадзора в разделе; Главная&gt; Апробация функциональных возможностей информационной системы «Единый портал тестирования».</w:t>
            </w:r>
          </w:p>
        </w:tc>
      </w:tr>
    </w:tbl>
    <w:p w:rsidR="00514927" w:rsidRDefault="001C7EAC"/>
    <w:sectPr w:rsidR="00514927" w:rsidSect="000560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00182"/>
    <w:multiLevelType w:val="multilevel"/>
    <w:tmpl w:val="A6B2A5DE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B7"/>
    <w:rsid w:val="00056037"/>
    <w:rsid w:val="001C7EAC"/>
    <w:rsid w:val="003C2257"/>
    <w:rsid w:val="00402C6E"/>
    <w:rsid w:val="004E033C"/>
    <w:rsid w:val="00593836"/>
    <w:rsid w:val="00635487"/>
    <w:rsid w:val="00834E16"/>
    <w:rsid w:val="00A41E1E"/>
    <w:rsid w:val="00A5105B"/>
    <w:rsid w:val="00AC2040"/>
    <w:rsid w:val="00B560E8"/>
    <w:rsid w:val="00C976D3"/>
    <w:rsid w:val="00D020F9"/>
    <w:rsid w:val="00D263B0"/>
    <w:rsid w:val="00E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CD0B2-E241-4FAF-97C2-C160865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1">
    <w:name w:val="Char Style 11"/>
    <w:basedOn w:val="a0"/>
    <w:link w:val="Style2"/>
    <w:rsid w:val="00593836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11"/>
    <w:rsid w:val="00593836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character" w:customStyle="1" w:styleId="CharStyle9">
    <w:name w:val="Char Style 9"/>
    <w:basedOn w:val="a0"/>
    <w:link w:val="Style8"/>
    <w:rsid w:val="00593836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593836"/>
    <w:pPr>
      <w:widowControl w:val="0"/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CharStyle3Exact">
    <w:name w:val="Char Style 3 Exact"/>
    <w:basedOn w:val="a0"/>
    <w:rsid w:val="00834E16"/>
    <w:rPr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CharStyle4Exact">
    <w:name w:val="Char Style 4 Exact"/>
    <w:basedOn w:val="CharStyle9"/>
    <w:rsid w:val="00834E16"/>
    <w:rPr>
      <w:b w:val="0"/>
      <w:bCs w:val="0"/>
      <w:i w:val="0"/>
      <w:iCs w:val="0"/>
      <w:smallCaps w:val="0"/>
      <w:strike w:val="0"/>
      <w:spacing w:val="-25"/>
      <w:sz w:val="26"/>
      <w:szCs w:val="26"/>
      <w:u w:val="none"/>
      <w:shd w:val="clear" w:color="auto" w:fill="FFFFFF"/>
    </w:rPr>
  </w:style>
  <w:style w:type="character" w:customStyle="1" w:styleId="CharStyle7">
    <w:name w:val="Char Style 7"/>
    <w:basedOn w:val="a0"/>
    <w:link w:val="Style6"/>
    <w:rsid w:val="00B560E8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B560E8"/>
    <w:pPr>
      <w:widowControl w:val="0"/>
      <w:shd w:val="clear" w:color="auto" w:fill="FFFFFF"/>
      <w:spacing w:after="300" w:line="322" w:lineRule="exact"/>
      <w:ind w:hanging="240"/>
    </w:pPr>
    <w:rPr>
      <w:sz w:val="26"/>
      <w:szCs w:val="26"/>
    </w:rPr>
  </w:style>
  <w:style w:type="character" w:customStyle="1" w:styleId="CharStyle6">
    <w:name w:val="Char Style 6"/>
    <w:basedOn w:val="a0"/>
    <w:link w:val="Style5"/>
    <w:rsid w:val="00AC2040"/>
    <w:rPr>
      <w:sz w:val="26"/>
      <w:szCs w:val="26"/>
      <w:shd w:val="clear" w:color="auto" w:fill="FFFFFF"/>
    </w:rPr>
  </w:style>
  <w:style w:type="character" w:customStyle="1" w:styleId="CharStyle8Exact">
    <w:name w:val="Char Style 8 Exact"/>
    <w:basedOn w:val="a0"/>
    <w:link w:val="Style7"/>
    <w:rsid w:val="00AC2040"/>
    <w:rPr>
      <w:spacing w:val="6"/>
      <w:sz w:val="21"/>
      <w:szCs w:val="21"/>
      <w:shd w:val="clear" w:color="auto" w:fill="FFFFFF"/>
    </w:rPr>
  </w:style>
  <w:style w:type="character" w:customStyle="1" w:styleId="CharStyle9Exact">
    <w:name w:val="Char Style 9 Exact"/>
    <w:basedOn w:val="CharStyle8Exact"/>
    <w:rsid w:val="00AC204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"/>
    </w:rPr>
  </w:style>
  <w:style w:type="paragraph" w:customStyle="1" w:styleId="Style5">
    <w:name w:val="Style 5"/>
    <w:basedOn w:val="a"/>
    <w:link w:val="CharStyle6"/>
    <w:rsid w:val="00AC2040"/>
    <w:pPr>
      <w:widowControl w:val="0"/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Style7">
    <w:name w:val="Style 7"/>
    <w:basedOn w:val="a"/>
    <w:link w:val="CharStyle8Exact"/>
    <w:rsid w:val="00AC2040"/>
    <w:pPr>
      <w:widowControl w:val="0"/>
      <w:shd w:val="clear" w:color="auto" w:fill="FFFFFF"/>
      <w:spacing w:after="0" w:line="0" w:lineRule="atLeast"/>
    </w:pPr>
    <w:rPr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Богданова Анастасия Викторовна</cp:lastModifiedBy>
  <cp:revision>4</cp:revision>
  <dcterms:created xsi:type="dcterms:W3CDTF">2019-10-17T09:27:00Z</dcterms:created>
  <dcterms:modified xsi:type="dcterms:W3CDTF">2020-01-24T09:58:00Z</dcterms:modified>
</cp:coreProperties>
</file>